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2007/26 vom 12. September 2007</w:t>
      </w:r>
    </w:p>
    <w:p>
      <w:r>
        <w:t>Sg Versicherungsgericht, 2007-09-12, DE</w:t>
      </w:r>
    </w:p>
    <w:p>
      <w:r>
        <w:rPr>
          <w:b/>
        </w:rPr>
        <w:t xml:space="preserve">Quelle: </w:t>
      </w:r>
      <w:r>
        <w:t>https://mcp.opencaselaw.ch/entscheid/sg_publikationen_UV 2007_26</w:t>
      </w:r>
    </w:p>
    <w:p>
      <w:r>
        <w:t>FR: SG_VERSICHERUNGSGERICHT UV 2007/26 du 12 septembre 2007</w:t>
      </w:r>
    </w:p>
    <w:p>
      <w:r>
        <w:t>IT: SG_VERSICHERUNGSGERICHT UV 2007/26 del 12 settembre 2007</w:t>
      </w:r>
    </w:p>
    <w:p>
      <w:pPr>
        <w:pStyle w:val="Heading2"/>
      </w:pPr>
      <w:r>
        <w:t>Regeste</w:t>
      </w:r>
    </w:p>
    <w:p>
      <w:r>
        <w:t>Art. 6, 18 und 24 UVG. Bemessung der Invalidität und der Integritätsentschädigung. Abklärung der Unfallkausalität von psychischen Beschwerden nach einem Verkehrsunfall (Entscheid des Versicherungsgerichts des Kantons St. Gallen vom 12. September 2007, UV 2007/26).</w:t>
      </w:r>
    </w:p>
    <w:p>
      <w:pPr>
        <w:pStyle w:val="Heading2"/>
      </w:pPr>
      <w:r>
        <w:t>Erwägungen</w:t>
      </w:r>
    </w:p>
    <w:p>
      <w:r>
        <w:rPr>
          <w:b/>
        </w:rPr>
        <w:t>E. 1</w:t>
      </w:r>
    </w:p>
    <w:p>
      <w:r>
        <w:t>Streitig ist vorliegend, ob die Beschwerdegegnerin den Invaliditätsgrad des Beschwerdeführers mit 12% richtig berechnet hat sowie ob die Integritätseinbusse von 7% der dauernden erheblichen Schädigung der körperlichen und geistigen Integrität entsprechend festgesetzt wurde.</w:t>
      </w:r>
    </w:p>
    <w:p>
      <w:r>
        <w:rPr>
          <w:b/>
        </w:rPr>
        <w:t>E. 2</w:t>
      </w:r>
    </w:p>
    <w:p>
      <w:r>
        <w:t>a)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 Sie hat zudem Anspruch auf die zweckmässige Behandlung der Unfallfolgen (Art. 10 UVG). Der Unfallversicherer ist demnach nur für Gesundheitsschäden leistungspflichtig, die natürlich - und adäquatkausal mit einem versicherten Unfallereignis zusammenhängen (A. RUMO-JUNGO, Rechtsprechung des Bundesgerichts zum Sozialversicherungsrecht, Bundesgesetz über die Unfallversicherung, 3. Aufl. Zürich 2003, S. 42 ff.). b) Ursachen im Sinn des natürlichen Kausalzusammenhangs sind alle Umstände, ohne deren Vorhandensein der eingetretene Erfolg nicht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119 V 337 E. 1, 118 V 289 E. 1b, je mit Hinweisen).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(BGE 129 V 181 E. 3.2, 123 V 103 E. 3d, 122 V 416 E. 2a mit Hinweisen). Bei physischen Unfallfolgen spielt die Adäquanz als rechtliche Eingrenzung der aus dem natürlichen Kausalzusammenhang sich ergebenden Haftung des Unfallversicherers praktisch keine Rolle (SVR 2000 UV Nr. 14 S. 45). Besondere Regeln hat die Rechtsprechung für die Beurteilung der Adäquanz psychischer Fehlentwicklungen nach einem Unfall aufgestellt. Danach ist die Frage nach der generellen Eignung eines Unfallereignisses, eine psychisch bedingte Arbeits- bzw. Erwerbsunfähigkeit zu bewirken, aufgrund einer Würdigung der Gesamtheit der Umstände vor und nach dem Unfall zu beurteilen (BGE 115 V 136 E. 4d). Die Beschwerdegegnerin hat die diesbezüglichen Grundsätze in Erwägung Ziff. 4 a des angefochtenen Einspracheentscheids zutreffend dargelegt. Während es Aufgabe des Arztes oder der Ärztin ist, den natürlichen Kausalzusammenhang zu beurteilen, obliegt es dem Gericht, die Frage nach dem adäquaten Kausalzusammenhang zu beantworten (BGE 123 III 110 E. 3a; PVG 1984 Nr. 82, 174). c) 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der Sozialversicherungsrichter die rechtserheblichen tatsächlichen Entscheidgrundlagen bei pflichtgemässer Beweiswürdigung als schlüssig, darf er den Prozess ohne Weiterungen - insbesondere ohne Beizug eines Gerichtsgutachters - abschliessen. An die Beweiswürdigung sind jedoch strenge Anforderungen zu stellen. Bestehen auch nur geringe Zweifel an der Zuverlässigkeit und Schlüssigkeit der ärztlichen Feststellungen, sind ergänzende Abklärungen vorzunehmen (RKUV 1997 Nr. 281 S. 281 E. 1a).</w:t>
      </w:r>
    </w:p>
    <w:p>
      <w:r>
        <w:rPr>
          <w:b/>
        </w:rPr>
        <w:t>E. 3</w:t>
      </w:r>
    </w:p>
    <w:p>
      <w:r>
        <w:t>a) Gemäss Stellungnahme von Dr. C.___ vom 9. Juni 2005 (Suva-act. G 5.1/183) wurde beim Beschwerdeführer klinisch eine bewegungs- und belastungsabhängige, multifokale Schmerzsymptomatik im rechten Handgelenk mit eingeschränkter Beweglichkeit des rechten Daumens im Interphalangeal- und Metacarpophalangealgelenk (IP- und MP-Gelenk), insbesondere unvollständiger Streckung und daneben eine neurologisch nicht fassbare Irritation des Nervus (N.) ulnaris rechts am Sulcus und leichte Krallenstellung Digitus (Dig.) III und IV mit Unfähigkeit der Abduktion von Dig. IV festgestellt. In seiner angestammten Tätigkeit bei der Arbeit an der Stanzmaschine, in der Schleiferei und beim Transport von schwerem Material sei der Versicherte zu 100% arbeitsunfähig. Aufgrund der Beobachtungen im Rahmen der berufsorientierten Ergotherapie sowie der Mess- und Testserien sei bezüglich der Unfallrestfolgen mindestens eine leichte manuelle Tätigkeit ganztags, allerdings mit vermehrten Pausen, zumutbar. Dr. B.___ diagnostizierte mit Bericht vom 28. März 2006 (Suva-act. G 5.1/224) eine Tenodese der transferierten EPL-Sehne, eine Schwäche der Intrinsic Muskulatur, verbunden mit Hyposensibilität, vor allem der ulnaren Hand, ein Streckausfall in den proximalen Interphalangealgelenken (PIP) IV und V, eine unterschiedliche Laxität des distalen Radio-Ulnar Gelenks, eine Cheloid Veränderung der Haut bei Status nach multiplen Schnittverletzungen, eine Überempfindlichkeit des N. Radialis im Supinatorbereich und des N. Medianus im Pronatorbereich sowie ein Handgelenkganglion mit Flüssigkeitsansammlung im Carpus rechts. Eine volle Arbeitsfähigkeit sei bereits von Dr. C.___ als unmöglich betrachtet worden. Der Beschwerdeführer sei nur in einer speziellen Institution bedingt arbeitsfähig, wo alle von Dr. C.___ erwähnten Parameter berücksichtigt würden. Gemäss Gutachten der MEDAS Ostschweiz vom 9. November 2006 wurden beim Beschwerdeführer ein chronisches cervicocephales und –brachiales Schmerzsyndrom rechts bei Ruptur der EPL-Sehne, ein Handgelenksganglion rechts mit Flüssigkeitsansammlung im Carpus, ein Sulcus N. ulnaris-Syndrom rechts, Schulterschmerzen rechts, eine ausgeprägte linkskonvexe Skoliosefehlhaltung cervicothoracal und ein chronisches lumbovertebrogenes Schmerzsyndrom mit pseudoradikulärer Ausstrahlung links bei Bandscheibenvorfall LW4/5 medio-linkslateral und degenerativen Veränderungen sowie chronische Spannungskopfschmerzen diagnostiziert. Aus somatischer Sicht habe ab dem ersten Unfall am 27. Dezember 2002 bis zum zweiten Unfall am 8. August 2004 eine 50%ige Arbeitsunfähigkeit bestanden, welche in der Folge durch eine psychisch bedingte Arbeitsunfähigkeit abgelöst worden sei. Bei einer angepassten Tätigkeit seien sitzende Phasen von bis zu einem Drittel zu berücksichtigen und es sei auf Arbeiten mit wiederholtem Faustschluss rechts und wiederholtes Heben von Lasten über 5 kg zu verzichten. Der zeitliche Einsatz könne vollschichtig erfolgen, wobei jeweils nach zwei Stunden Arbeit eine Pause von 15 Minuten und am Mittag eine Pause von 1 ½ Stunden einzuhalten sei. Die vorliegenden von verschiedenen Fachärzten und Gutachtern erstellten Diagnosen bezüglich der somatischen Leiden des Beschwerdeführers sind im Wesentlichen übereinstimmend. b) Die psychiatrische Abklärung durch Dr. med. D.___, FMH Psychiatrie und Psychotherapie, Leitender Arzt, Rehaklinik Bellikon, vom 18. Januar 2005 ergab eine eher leichte aber lang gezogene psychische Anpassungsstörung von ängstlich-depressivem Muster (Suva-act. G 5.1/169). Eine psychiatrisch begründete Arbeitsunfähigkeit sei allerdings nicht indiziert. Dr. med. E.___, Spezialarzt für Psychiatrie und Psychotherapie, diagnostizierte am 26. Februar 2005 (Suva-act. G 5.1/155) eine Anpassungsstörung mit Angst und depressiven Symptomen nach einem Autounfall am 27. Dezember 2002 mit Verletzung des rechten Handgelenks. Aus psychiatrischer Sicht bestehe zumindest eine Arbeitsunfähigkeit von 70%. Dr. med. F.___, Oberärztin, Leiterin Psychiatrisches Zentrum Wattwil, Ambulatorium für Sozialpsychiatrie, bestätigte am 20. Juli 2005 (Suva-act. G 5.1/192) unter anderem eine Anpassungsstörung mit Angst und depressiver Reaktion gemischt nach Treppensturz am 19. März 2002, nach Autounfall am 27. Dezember 2002 und Selbstunfall am 8. August 2004. Die Anpassungsstörung äussere sich durch Schlafstörungen, Grübelneigung, Scham- und Minderwertigkeitsgefühle und Konzentrationsschwierigkeiten. In Anbetracht der gescheiterten Wiedereingliederungsversuche, der bestehenden Bewältigungsstrategie (ängstlich – vermeidend), aber auch der unterschiedlichen Bewertungen der verschiedenen Gutachter, sei eher von einer Chronifizierung und einer Arbeitsunfähigkeit auszugehen. Gleichwohl erhalte man den Eindruck, dass der Beschwerdeführer wenigstens zu 50% einer Tätigkeit nachgehen könnte. Neben somatischen Beschwerden, ergab die Abklärung der MEDAS Ostschweiz vom 9. November 2006 eine rezidivierende depressive Störung mit gegenwärtig schwerer Episode ohne psychotische Symptome. Ab dem zweiten Unfall am 8. August 2004 bestehe aus psychiatrischer Sicht eine 70%ige Arbeitsunfähigkeit. Aus den medizinischen Unterlagen ist ersichtlich, dass sich die bereits von Dr. D.___ am 18. Januar 2005 diagnostizierte Anpassungsstörung - welche zum damaligen Zeitpunkt keine Auswirkung auf die Arbeitsfähigkeit hatte – mit der Zeit zu einer depressiven Störung entwickelte und eine psychisch bedingte Arbeitsunfähigkeit verursachte. Zu prüfen ist somit vorerst, ob die psychischen Probleme des Beschwerdeführers in einem natürlichen und adäquaten Kausalzusammenhang mit dem Unfall vom 27. Dezember 2002 stehen. c) Am 27. Dezember 2002 geriet der Versicherte als Lenker eines Personenwagens ins Schleudern und überschlug sich. Aufgrund des augenfälligen Geschehensablaufs ist vorliegend von einem mittelschweren Ereignis im mittleren Bereich auszugehen (vgl. auch die Zusammenfassung der Rechtsprechung in RKUV 2003 Nr. I 481 S. 204 Erw. 3.3.2). Damit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Selbst wenn dem Unfall eine gewisse Eindrücklichkeit nicht abgesprochen werden kann, entbehrt es ihm an einer besonderen Eindrücklichkeit oder Dramatik. Verletzungen, die erfahrungsgemäss geeignet sind, psychische Fehlentwicklungen auszulösen, lagen nach dem Unfall nicht bzw. nicht in der erforderlichen Intensität vor. Nach einer sorgfältig durchgeführten Wundpflege erfolgte am 19. Februar 2003 die operative Strecksehnenrekonstruktion. Gemäss Operationsbericht gestaltete sich die Operation und der postoperative Verlauf komplikationslos. Ausser therapeutischen Massnahmen haben in der Folge keine medizinischen Eingriffe mehr stattgefunden, weshalb nicht von einer ungewöhnlich langen Dauer der ärztlichen Behandlung oder von einem schwierigen Heilungsverlauf mit erheblichen Komplikationen auszugehen ist. Anhaltspunkte für eine ärztliche Fehlbehandlung liegen ebenfalls nicht vor. Der Beschwerdeführer teilte anlässlich der Untersuchung in Bellikon mit, schmerzfrei zu sein, wenn die Hand ohne aktive Bewegung auf dem Tisch liege. Auch wenn somit nicht ein Dauerschmerz im engeren Sinn vorhanden ist, ist davon auszugehen, dass wohl eine bewegungs- und belastungsabhängige Schmerzsymptomatik besteht und auch entsprechend diagnostiziert wurde, weshalb das Kriterium der Dauerschmerzen in diesem Sinn als erfüllt betrachtet werden kann. Den medizinischen Akten ist sodann zu entnehmen, dass die Genesung relativ früh und immer stärker durch die psychische Fehlentwicklung überlagert wurde. Der die ärztlichen Massnahmen in dieser Phase mitbestimmende psychische Gesundheitsschaden darf aber nicht in die Adäquanzbeurteilung einbezogen werden (BGE 123 V 99 Erw. 2a). Trotzdem ist den medizinischen Unterlagen konkret eine somatisch bedingte Einschränkung in der Arbeitsfähigkeit zu entnehmen, indem dem Beschwerdeführer bei einer angepassten Tätigkeit zusätzliche Pausen zu gewähren sind. Bei zusätzlichen Pausen von täglich insgesamt 30 Minuten ergibt sich unter der Annahme einer 42 Stunden Arbeitswoche eine Einschränkung der Arbeitsfähigkeit von aufgerundet 6%. Die Frage, ob dadurch die zur Bejahung des Kriteriums erreichte Intensität gegeben ist kann offen gelassen werden, zumal selbst bei einer Bejahung die unfallbezogenen Kriterien gesamthaft nicht in gehäufter oder auffallender Weise gegeben sind. Bei dieser Sachlage muss die Adäquanz der nach dem Unfall aufgetretenen psychischen Probleme zum versicherten Unfall vom 27. Dezember 2002 verneint werden. Damit erübrigt sich eine Prüfung des natürlichen Kausalzusammenhangs der psychischen Problematik mit dem Unfall, da sich der natürliche und der adäquate Kausalzusammenhang kumulativ gegeben sein müssen, um eine Leistungspflicht des UVG-Versicherers zu begründen.</w:t>
      </w:r>
    </w:p>
    <w:p>
      <w:r>
        <w:rPr>
          <w:b/>
        </w:rPr>
        <w:t>E. 4</w:t>
      </w:r>
    </w:p>
    <w:p>
      <w:r>
        <w:t>a) Nachdem der Unfall vom 27. Dezember 2002 nicht geeignet war, eine psychische Fehlentwicklung adäquat kausal zu bewirken, muss es bei der von den Ärzten der Rehaklinik Bellikon und der MEDAS dargelegten Feststellung bleiben, dass dem Beschwerdeführer eine leichte manuelle Tätigkeit, ohne wiederholten Faustschluss rechts, ohne wiederholtes Heben von Lasten über 5 kg und mit zusätzlichen Pausen nach jeweils zwei Stunden Arbeit, ganztags zumutbar wäre. Nicht mehr zumutbar sind mittelschwere oder schwere respektive sehr schwere manuelle Tätigkeiten, Tätigkeiten verknüpft mit Stück- und/oder Zeitakkord, Vibrationsbelastungen und Schläge in Bezug auf die rechte Hand sowie Tätigkeiten mit erhöhten Anforderungen an die Feinmotorik rechts. Durch die zusätzlich bedingten Pausen von 30 Minuten je Tag ergibt sich ein Arbeitsunfähigkeitsgrad von 6%. Die MEDAS verlangte zudem für die angepasste Tätigkeit sitzende Phasen bis zu einem Drittel. Diese Einschränkung beruht indessen auf den durch die Diskushernie LW4/5 hervorgerufenen Rückenschmerzen, für welche die Beschwerdegegnerin nicht einzutreten hat. Einerseits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(RKUV 2000 Nr. U 379 S. 193 Erw. 2a). Und andererseits handelt es sich in casu gemäss Bericht der MEDAS um eine degenerative Veränderung. Eine unfallbedingte Diskushernie steht damit nicht zur Diskussion, weshalb die Einschränkungen in der angepassten Tätigkeit, welche auf die Rückenschmerzen zurück zu führen sind, nicht zu berücksichtigen sind. b) Die Beschwerdegegnerin hat dem Einkommensvergleich ein Valideneinkommen von Fr. 55'900.-- zugrunde gelegt, das der Beschwerdeführer aufgrund der Angaben der früheren Arbeitgeberin (Suva-act. G 5.1/200) unter Berücksichtigung der auf das Jahr 2006 im Betrieb vorgenommenen Lohnerhöhung hätte erzielen können. Bei der Berechnung des Invalideneinkommens hat sie sich auf ihre Dokumentation über Arbeitsplätze (DAP) gestützt. Im Hinblick auf die geforderte Repräsentativität der DAP-Profile und der daraus abgeleiteten Lohnangaben hat die Beschwerdegegnerin gemäss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vom 28. August 2003 i/S C. [U 35/00] Erw. 4.2.2). Die erforderlichen Angaben sind den vorliegenden Akten zu entnehmen (Suva-act. G 5.1/211). Wie die Beschwerdegegnerin mit den aufgelegten DAP-Arbeitsplatzprofilen hinreichend nachgewiesen hat, wäre die Restarbeitsfähigkeit auch praktisch verwertbar, da die dem Beschwerdeführer zumutbaren Tätigkeiten einerseits Gegenstand von Angebot und Nachfrage auf dem ihr offen stehenden, ausgeglichenen Arbeitsmarkt sind (vgl. BGE 110 V 276 Erw. 4b; ZAK 1991 S. 320 Erw. 3b) und sie anderseits nicht derart eingeschränkt ist, dass der allgemeine Arbeitsmarkt die für sie geeigneten Stellen nicht kennt oder eine Beschäftigung nur unter nicht realistischem Entgegenkommen eines Arbeitgebers möglich wäre (Urteil des Eidgenössischen Versicherungsgerichts vom 14. April 2000, U 241/99). Die Vorlage der verschiedenen DAP-Arbeitsplätze steht der Aussage von Dr. B.___, wonach der Beschwerdeführer nur in einer speziellen Institution arbeitsfähig sei, entgegen. Bei der Auswahl der DAP-Arbeitsplätze hat die Vorinstanz die Beschwerden des Beschwerdeführers hinreichend berücksichtigt, zumal bei sämtlichen Arbeiten eine beidhändige Tätigkeit nur bedingt oder nicht notwendig ist. Die Berechnung des Invalideneinkommens ist durch die Beschwerdegegnerin korrekt durchgeführt worden, indem vom durchschnittlichen Einkommen der fünf ausgewählten DAP-Arbeitsplätze (Fr. 52'053.--) aufgrund der zusätzlichen Pausen 6% abgezogen und unter Berücksichtigung der Teuerung (DAP-Löhne aus dem Jahr 2005) von 1% ein Durchschnittswert von Fr. 49'383.-- errechnet wurde. Die von der Vorinstanz zur Berechnung des IV-Grads verwendeten Validen- und Invalideneinkommen sind somit korrekt ermittelt worden. Der von der Beschwerdegegnerin errechnete IV-Grad von 12% lässt sich unter diesen Gegebenheiten nicht beanstanden.</w:t>
      </w:r>
    </w:p>
    <w:p>
      <w:r>
        <w:rPr>
          <w:b/>
        </w:rPr>
        <w:t>E. 5</w:t>
      </w:r>
    </w:p>
    <w:p>
      <w:r>
        <w:t>a) Zu prüfen bleibt die Höhe der Integritätseinbusse, welche von der Beschwerdegegnerin auf 7% festgesetzt wurde. Im angefochtenen Einsprache-Entscheid wurden die für die Bemessung von Integritätsschäden nach Art. 25 Abs. 1 UVG in Verbindung mit Art. 36 UVV und Anhang 3 der UVV geltenden Regeln zutreffend dargelegt, sodass darauf verwiesen werden kann. Das Gleiche gilt hinsichtlich der von der Suva in Ergänzung der bundesrätlichen Skala herausgegebenen Bemessungsgrundlagen in tabellarischer Form, welche nach der Rechtsprechung mit Anhang 3 zur UVV vereinbar sind, soweit sie lediglich Richtwerte enthalten, mit denen die Gleichbehandlung gewährleistet werden soll (BGE 124 V 32 Erw. 1c). b) Die Beschwerdegegnerin stützte sich bei der Bemessung des Integritätsschadens auf die Beurteilung von Dr. C.___, welcher in seinem Bericht vom 11. Oktober 2005 (Suva-act. G 5.1/197) auf seine handchirurgische Stellungnahme vom 9. Juni 2005 und die Verwendung der Suva-Tabelle Integritätsentschädigung gemäss UVG vom Jahr 2000 verwies. Bezogen auf die bewegungs- und belastungsabhängige, multifokale Schmerzsymptomatik im rechten Handgelenk mit eingeschränkter Beweglichkeit des rechten Daumens im IP- und MP-Gelenk, insbesondere unvollständige Streckung, stütze er sich auf die Äquivalenzwerte bei mässiger Arthrose des Handgelenks, welche sich zwischen 5% und 10% bewegen würden. Das Ausmass der festgestellten Schädigung bewege sich eher am unteren Rand der mässigen Handgelenksarthrose, weshalb ein Integritätsschaden von 7% angemessen sei. Dr. B.___ ging in seinem Bericht vom 28. März 2006 aufgrund des Verlustes der Kraft und der Schmerzen von einer Herabminderung des Armwerts um 70%, den Arm zu 100% gerechnet, aus. Eine konkrete Einschätzung der Integritätseinbusse hat Dr. B.___ allerdings nicht vorgenommen. Der Beschwerdeführer macht eine Integritätsentschädigung von 70% geltend. Dr. C.___ hat in seiner Beurteilung dargelegt, dass der unfallbedingte Befund in Anwendung der Suva-Tabelle 1 (Funktionsstörung der oberen Extremitäten) als Integritätsschaden von 7% zu bewerten sei. Insbesondere die Einordnung von Nichtlisten- und kombinierten Fällen öffnet dem Arzt oder der Ärztin einen grossen Ermessensspielraum, in welchen die Verwaltung bzw. das Gericht nicht ohne Not bzw. nur dann eingreifen soll, wenn die unfallmedizinische Beurteilung im Hinblick auf die Liste im Anhang 3 sachlich nicht gerechtfertigt ist und zu stossenden Ungleichheiten führen würde. Nachdem dies vorliegend nicht der Fall ist, rechtfertigt sich ein Eingreifen in diese Beurteilung nicht. Die im Einsprache-Entscheid zugesprochene Integritätsentschädigung von 7% ist somit ebenfalls nicht zu beanstanden.</w:t>
      </w:r>
    </w:p>
    <w:p>
      <w:r>
        <w:rPr>
          <w:b/>
        </w:rPr>
        <w:t>E. 6</w:t>
      </w:r>
    </w:p>
    <w:p>
      <w:r>
        <w:t>Im Sinn der vorstehenden Erwägungen ist die Beschwerde unter Bestätigung des Einsprache-Entscheids vom 21. November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